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0820A">
      <w:pPr>
        <w:spacing w:line="560" w:lineRule="exact"/>
        <w:jc w:val="center"/>
        <w:rPr>
          <w:rFonts w:ascii="彩虹粗仿宋" w:hAnsi="彩虹粗仿宋" w:eastAsia="方正小标宋简体" w:cs="彩虹粗仿宋"/>
          <w:sz w:val="36"/>
          <w:szCs w:val="36"/>
        </w:rPr>
      </w:pPr>
      <w:r>
        <w:rPr>
          <w:rFonts w:hint="eastAsia" w:ascii="彩虹粗仿宋" w:hAnsi="彩虹粗仿宋" w:eastAsia="方正小标宋简体" w:cs="彩虹粗仿宋"/>
          <w:sz w:val="36"/>
          <w:szCs w:val="36"/>
        </w:rPr>
        <w:t>资金支持承诺函</w:t>
      </w:r>
      <w:r>
        <w:commentReference w:id="0"/>
      </w:r>
    </w:p>
    <w:p w14:paraId="5BA81CC0"/>
    <w:p w14:paraId="11735911">
      <w:pPr>
        <w:spacing w:line="560" w:lineRule="exact"/>
        <w:jc w:val="left"/>
        <w:rPr>
          <w:rFonts w:ascii="彩虹粗仿宋" w:hAnsi="彩虹粗仿宋" w:eastAsia="仿宋_GB2312" w:cs="彩虹粗仿宋"/>
          <w:sz w:val="32"/>
          <w:szCs w:val="32"/>
        </w:rPr>
      </w:pPr>
      <w:r>
        <w:rPr>
          <w:rFonts w:hint="eastAsia" w:ascii="彩虹粗仿宋" w:hAnsi="彩虹粗仿宋" w:eastAsia="仿宋_GB2312" w:cs="彩虹粗仿宋"/>
          <w:sz w:val="32"/>
          <w:szCs w:val="32"/>
        </w:rPr>
        <w:t>珠海华发集团有限公司：</w:t>
      </w:r>
    </w:p>
    <w:p w14:paraId="112CAB6F">
      <w:pPr>
        <w:spacing w:line="560" w:lineRule="exact"/>
        <w:ind w:firstLine="640" w:firstLineChars="200"/>
        <w:rPr>
          <w:rFonts w:ascii="彩虹粗仿宋" w:hAnsi="彩虹粗仿宋" w:eastAsia="仿宋_GB2312" w:cs="彩虹粗仿宋"/>
          <w:sz w:val="32"/>
          <w:szCs w:val="32"/>
        </w:rPr>
      </w:pPr>
      <w:r>
        <w:rPr>
          <w:rFonts w:hint="eastAsia" w:ascii="彩虹粗仿宋" w:hAnsi="彩虹粗仿宋" w:eastAsia="仿宋_GB2312" w:cs="彩虹粗仿宋"/>
          <w:sz w:val="32"/>
          <w:szCs w:val="32"/>
        </w:rPr>
        <w:t>我行经过充分评估，正式承诺为新质生产力基金提供资金支持，具体安排如下：</w:t>
      </w:r>
      <w:r>
        <w:commentReference w:id="1"/>
      </w:r>
    </w:p>
    <w:tbl>
      <w:tblPr>
        <w:tblStyle w:val="1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126"/>
        <w:gridCol w:w="1276"/>
        <w:gridCol w:w="1276"/>
        <w:gridCol w:w="1276"/>
        <w:gridCol w:w="1275"/>
      </w:tblGrid>
      <w:tr w14:paraId="40361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79B97506">
            <w:pPr>
              <w:snapToGrid w:val="0"/>
              <w:rPr>
                <w:rFonts w:ascii="彩虹粗仿宋" w:hAnsi="彩虹粗仿宋" w:eastAsia="仿宋_GB2312" w:cs="彩虹粗仿宋"/>
                <w:b/>
                <w:bCs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b/>
                <w:bCs/>
                <w:sz w:val="24"/>
              </w:rPr>
              <w:t>支持措施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CB4DC1">
            <w:pPr>
              <w:snapToGrid w:val="0"/>
              <w:rPr>
                <w:rFonts w:ascii="彩虹粗仿宋" w:hAnsi="彩虹粗仿宋" w:eastAsia="仿宋_GB2312" w:cs="彩虹粗仿宋"/>
                <w:b/>
                <w:bCs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b/>
                <w:bCs/>
                <w:sz w:val="24"/>
              </w:rPr>
              <w:t>出资（支持）方式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72D894">
            <w:pPr>
              <w:snapToGrid w:val="0"/>
              <w:rPr>
                <w:rFonts w:ascii="彩虹粗仿宋" w:hAnsi="彩虹粗仿宋" w:eastAsia="仿宋_GB2312" w:cs="彩虹粗仿宋"/>
                <w:b/>
                <w:bCs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b/>
                <w:bCs/>
                <w:sz w:val="24"/>
              </w:rPr>
              <w:t>资金额度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EB7C16">
            <w:pPr>
              <w:snapToGrid w:val="0"/>
              <w:rPr>
                <w:rFonts w:ascii="彩虹粗仿宋" w:hAnsi="彩虹粗仿宋" w:eastAsia="仿宋_GB2312" w:cs="彩虹粗仿宋"/>
                <w:b/>
                <w:bCs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b/>
                <w:bCs/>
                <w:sz w:val="24"/>
              </w:rPr>
              <w:t>资金期限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04150F">
            <w:pPr>
              <w:snapToGrid w:val="0"/>
              <w:rPr>
                <w:rFonts w:ascii="彩虹粗仿宋" w:hAnsi="彩虹粗仿宋" w:eastAsia="仿宋_GB2312" w:cs="彩虹粗仿宋"/>
                <w:b/>
                <w:bCs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b/>
                <w:bCs/>
                <w:sz w:val="24"/>
              </w:rPr>
              <w:t>预估成本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A8BBB7">
            <w:pPr>
              <w:snapToGrid w:val="0"/>
              <w:rPr>
                <w:rFonts w:ascii="彩虹粗仿宋" w:hAnsi="彩虹粗仿宋" w:eastAsia="仿宋_GB2312" w:cs="彩虹粗仿宋"/>
                <w:b/>
                <w:bCs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b/>
                <w:bCs/>
                <w:sz w:val="24"/>
              </w:rPr>
              <w:t>审批周期</w:t>
            </w:r>
          </w:p>
        </w:tc>
      </w:tr>
      <w:tr w14:paraId="50964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76474EE5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直接对新质生产力基金或分母基金出资</w:t>
            </w:r>
            <w:r>
              <w:commentReference w:id="2"/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AAA2E6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382733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449A9B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C064C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9BA7139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1AF5B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386DA951">
            <w:pPr>
              <w:snapToGrid w:val="0"/>
              <w:rPr>
                <w:rFonts w:hint="eastAsia"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目前与华发总授信额度（敞口部分）合作情况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05523A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30780E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7A63AA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4E3B89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14EE6B7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74954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2F81AAC0">
            <w:pPr>
              <w:snapToGrid w:val="0"/>
              <w:rPr>
                <w:rFonts w:hint="eastAsia"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在目前基础上新增华发集团授信敞口金额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804C76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021400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C60244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51C260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9A8961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79960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1E53DDB5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未来承销或投资华发集团、华科集团发行的债券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6D3A81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6A20DD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7B6207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6C72AC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477F8F1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7C96C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0AD0F869">
            <w:pPr>
              <w:snapToGrid w:val="0"/>
              <w:rPr>
                <w:rFonts w:hint="eastAsia"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对华发集团、华科集团旗下机构管理的基金（直投、S基金等）出资置换新质生产力基金额度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D69842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9BD3B8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163F72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8CA6CB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E7A44C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30525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3E95357B">
            <w:pPr>
              <w:snapToGrid w:val="0"/>
              <w:rPr>
                <w:rFonts w:hint="eastAsia"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提供在持基金份额收益权或上市公司流通股质押融资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317417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3F9056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91285B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C6014C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02CC36F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50024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6227BA19">
            <w:pPr>
              <w:snapToGrid w:val="0"/>
              <w:rPr>
                <w:rFonts w:hint="eastAsia"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为新质生产力基金募资撮合各类外部资金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1B4A8B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077AD5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000A09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8DA7C7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E6A5315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  <w:tr w14:paraId="622DF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032ABA7A">
            <w:pPr>
              <w:snapToGrid w:val="0"/>
              <w:rPr>
                <w:rFonts w:hint="eastAsia" w:ascii="彩虹粗仿宋" w:hAnsi="彩虹粗仿宋" w:eastAsia="仿宋_GB2312" w:cs="彩虹粗仿宋"/>
                <w:sz w:val="24"/>
              </w:rPr>
            </w:pPr>
            <w:r>
              <w:rPr>
                <w:rFonts w:hint="eastAsia" w:ascii="彩虹粗仿宋" w:hAnsi="彩虹粗仿宋" w:eastAsia="仿宋_GB2312" w:cs="彩虹粗仿宋"/>
                <w:sz w:val="24"/>
              </w:rPr>
              <w:t>对新质生产力基金及子基金已投项目提供投贷联动支持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409451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86B188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55918A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BD1A85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5AF53C7">
            <w:pPr>
              <w:snapToGrid w:val="0"/>
              <w:rPr>
                <w:rFonts w:ascii="彩虹粗仿宋" w:hAnsi="彩虹粗仿宋" w:eastAsia="仿宋_GB2312" w:cs="彩虹粗仿宋"/>
                <w:sz w:val="24"/>
              </w:rPr>
            </w:pPr>
          </w:p>
        </w:tc>
      </w:tr>
    </w:tbl>
    <w:p w14:paraId="0BF82CE2">
      <w:pPr>
        <w:ind w:firstLine="640" w:firstLineChars="200"/>
        <w:rPr>
          <w:rFonts w:ascii="彩虹粗仿宋" w:hAnsi="彩虹粗仿宋" w:eastAsia="仿宋_GB2312" w:cs="彩虹粗仿宋"/>
          <w:sz w:val="32"/>
          <w:szCs w:val="32"/>
        </w:rPr>
      </w:pPr>
      <w:r>
        <w:rPr>
          <w:rFonts w:hint="eastAsia" w:ascii="彩虹粗仿宋" w:hAnsi="彩虹粗仿宋" w:eastAsia="仿宋_GB2312" w:cs="彩虹粗仿宋"/>
          <w:sz w:val="32"/>
          <w:szCs w:val="32"/>
        </w:rPr>
        <w:t>如不能完整兑现以上承诺事项，则自本说明函发出之日起三年内（含），XX银行自愿放弃参与新质生产力基金参投基金的资金托管业务；同时，XX银行自愿放弃新质生产力基金的资金托管业务，无条件接受托管银行更换安排，积极配合完成托管银行变更事宜。</w:t>
      </w:r>
    </w:p>
    <w:p w14:paraId="58A823DF">
      <w:pPr>
        <w:spacing w:line="560" w:lineRule="exact"/>
        <w:ind w:firstLine="560"/>
        <w:jc w:val="right"/>
        <w:rPr>
          <w:rFonts w:ascii="彩虹粗仿宋" w:hAnsi="彩虹粗仿宋" w:eastAsia="仿宋_GB2312" w:cs="彩虹粗仿宋"/>
          <w:sz w:val="32"/>
          <w:szCs w:val="32"/>
        </w:rPr>
      </w:pPr>
      <w:r>
        <w:rPr>
          <w:rFonts w:hint="eastAsia" w:ascii="彩虹粗仿宋" w:hAnsi="彩虹粗仿宋" w:eastAsia="仿宋_GB2312" w:cs="彩虹粗仿宋"/>
          <w:sz w:val="32"/>
          <w:szCs w:val="32"/>
        </w:rPr>
        <w:t>XX银行股份有限公司珠海市分行</w:t>
      </w:r>
    </w:p>
    <w:p w14:paraId="457507EA">
      <w:pPr>
        <w:spacing w:line="560" w:lineRule="exact"/>
        <w:ind w:firstLine="560"/>
        <w:jc w:val="right"/>
        <w:rPr>
          <w:rFonts w:ascii="彩虹粗仿宋" w:hAnsi="彩虹粗仿宋" w:eastAsia="仿宋_GB2312" w:cs="彩虹粗仿宋"/>
          <w:sz w:val="32"/>
          <w:szCs w:val="32"/>
        </w:rPr>
      </w:pPr>
      <w:r>
        <w:rPr>
          <w:rFonts w:hint="eastAsia" w:ascii="彩虹粗仿宋" w:hAnsi="彩虹粗仿宋" w:eastAsia="仿宋_GB2312" w:cs="彩虹粗仿宋"/>
          <w:sz w:val="32"/>
          <w:szCs w:val="32"/>
        </w:rPr>
        <w:t>年   月   日</w:t>
      </w:r>
    </w:p>
    <w:p w14:paraId="66EAF88B">
      <w:pPr>
        <w:rPr>
          <w:rFonts w:ascii="彩虹粗仿宋" w:hAnsi="彩虹粗仿宋" w:eastAsia="仿宋_GB2312" w:cs="彩虹粗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llan" w:date="2024-11-20T16:06:55Z" w:initials="ala">
    <w:p w14:paraId="022246EC">
      <w:pPr>
        <w:pStyle w:val="11"/>
      </w:pPr>
      <w:r>
        <w:rPr>
          <w:rFonts w:hint="eastAsia"/>
          <w:lang w:val="en-US" w:eastAsia="zh-CN"/>
        </w:rPr>
        <w:t>意向函与承诺函可组合出具</w:t>
      </w:r>
      <w:bookmarkStart w:id="0" w:name="_GoBack"/>
      <w:bookmarkEnd w:id="0"/>
    </w:p>
  </w:comment>
  <w:comment w:id="1" w:author="allan" w:date="2024-11-18T19:10:00Z" w:initials="ala">
    <w:p w14:paraId="774B8109">
      <w:pPr>
        <w:pStyle w:val="11"/>
      </w:pPr>
      <w:r>
        <w:rPr>
          <w:rFonts w:hint="eastAsia"/>
        </w:rPr>
        <w:t>请尽量填写明确的金额以便于评估优劣</w:t>
      </w:r>
    </w:p>
  </w:comment>
  <w:comment w:id="2" w:author="allan" w:date="2024-11-18T19:11:00Z" w:initials="ala">
    <w:p w14:paraId="67EB648E">
      <w:pPr>
        <w:pStyle w:val="11"/>
      </w:pPr>
      <w:r>
        <w:rPr>
          <w:rFonts w:hint="eastAsia"/>
          <w:lang w:val="en-US" w:eastAsia="zh-CN"/>
        </w:rPr>
        <w:t>建议</w:t>
      </w:r>
      <w:r>
        <w:rPr>
          <w:rFonts w:hint="eastAsia"/>
        </w:rPr>
        <w:t>明确可出资主体、金额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22246EC" w15:done="0"/>
  <w15:commentEx w15:paraId="774B8109" w15:done="0"/>
  <w15:commentEx w15:paraId="67EB648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050BDC46-F90A-4C51-B6C9-1C21D5AABDEA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彩虹粗仿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2" w:fontKey="{6C8DDD11-79C6-4836-8229-39E6BD7C4E1A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B01743B9-F7F2-4706-AE4F-E6C4272619C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4705F30-9B1F-4837-92A2-D8638C7C965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llan">
    <w15:presenceInfo w15:providerId="None" w15:userId="all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hOGY4MDJmNzBkZDY3MTZhZDRhZGIxNjY3YmY3ZGQifQ=="/>
  </w:docVars>
  <w:rsids>
    <w:rsidRoot w:val="008A2CEA"/>
    <w:rsid w:val="00041FB1"/>
    <w:rsid w:val="00050585"/>
    <w:rsid w:val="00191508"/>
    <w:rsid w:val="001B1ECC"/>
    <w:rsid w:val="002C7A24"/>
    <w:rsid w:val="00381304"/>
    <w:rsid w:val="004876F6"/>
    <w:rsid w:val="004A586D"/>
    <w:rsid w:val="00512E50"/>
    <w:rsid w:val="006E258C"/>
    <w:rsid w:val="00784029"/>
    <w:rsid w:val="007D38AA"/>
    <w:rsid w:val="0084244A"/>
    <w:rsid w:val="00845140"/>
    <w:rsid w:val="008A2CEA"/>
    <w:rsid w:val="009C62A6"/>
    <w:rsid w:val="00A60E63"/>
    <w:rsid w:val="00C1136F"/>
    <w:rsid w:val="00C52AA9"/>
    <w:rsid w:val="00C71782"/>
    <w:rsid w:val="00CC068C"/>
    <w:rsid w:val="00D703BD"/>
    <w:rsid w:val="00D73BBB"/>
    <w:rsid w:val="00E42D6A"/>
    <w:rsid w:val="00E650C6"/>
    <w:rsid w:val="00EA13E8"/>
    <w:rsid w:val="00EB6594"/>
    <w:rsid w:val="00F027C9"/>
    <w:rsid w:val="13124508"/>
    <w:rsid w:val="3EC752A4"/>
    <w:rsid w:val="6D6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6"/>
    <w:qFormat/>
    <w:uiPriority w:val="0"/>
    <w:pPr>
      <w:jc w:val="left"/>
    </w:pPr>
  </w:style>
  <w:style w:type="paragraph" w:styleId="12">
    <w:name w:val="Balloon Text"/>
    <w:basedOn w:val="1"/>
    <w:link w:val="37"/>
    <w:semiHidden/>
    <w:unhideWhenUsed/>
    <w:qFormat/>
    <w:uiPriority w:val="99"/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annotation reference"/>
    <w:qFormat/>
    <w:uiPriority w:val="0"/>
    <w:rPr>
      <w:sz w:val="21"/>
      <w:szCs w:val="21"/>
    </w:rPr>
  </w:style>
  <w:style w:type="character" w:customStyle="1" w:styleId="18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  <w:lang w:val="en-GB"/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  <w:lang w:val="en-GB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  <w:lang w:val="en-GB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  <w:lang w:val="en-GB"/>
    </w:rPr>
  </w:style>
  <w:style w:type="character" w:customStyle="1" w:styleId="22">
    <w:name w:val="标题 5 字符"/>
    <w:basedOn w:val="16"/>
    <w:link w:val="6"/>
    <w:semiHidden/>
    <w:qFormat/>
    <w:uiPriority w:val="9"/>
    <w:rPr>
      <w:rFonts w:eastAsiaTheme="majorEastAsia" w:cstheme="majorBidi"/>
      <w:color w:val="104862" w:themeColor="accent1" w:themeShade="BF"/>
      <w:lang w:val="en-GB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7 字符"/>
    <w:basedOn w:val="16"/>
    <w:link w:val="8"/>
    <w:semiHidden/>
    <w:qFormat/>
    <w:uiPriority w:val="9"/>
    <w:rPr>
      <w:rFonts w:eastAsiaTheme="majorEastAsia" w:cstheme="majorBidi"/>
      <w:color w:val="595959" w:themeColor="text1" w:themeTint="A6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:lang w:val="en-GB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qFormat/>
    <w:uiPriority w:val="9"/>
    <w:rPr>
      <w:rFonts w:eastAsiaTheme="majorEastAsia" w:cstheme="majorBidi"/>
      <w:color w:val="262626" w:themeColor="text1" w:themeTint="D9"/>
      <w:lang w:val="en-GB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  <w:style w:type="character" w:customStyle="1" w:styleId="28">
    <w:name w:val="副标题 字符"/>
    <w:basedOn w:val="16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qFormat/>
    <w:uiPriority w:val="29"/>
    <w:rPr>
      <w:i/>
      <w:iCs/>
      <w:color w:val="404040" w:themeColor="text1" w:themeTint="BF"/>
      <w:lang w:val="en-GB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明显强调1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6"/>
    <w:link w:val="33"/>
    <w:qFormat/>
    <w:uiPriority w:val="30"/>
    <w:rPr>
      <w:i/>
      <w:iCs/>
      <w:color w:val="104862" w:themeColor="accent1" w:themeShade="BF"/>
      <w:lang w:val="en-GB"/>
    </w:rPr>
  </w:style>
  <w:style w:type="character" w:customStyle="1" w:styleId="35">
    <w:name w:val="明显参考1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批注文字 字符"/>
    <w:basedOn w:val="16"/>
    <w:link w:val="11"/>
    <w:qFormat/>
    <w:uiPriority w:val="0"/>
    <w:rPr>
      <w:rFonts w:ascii="Calibri" w:hAnsi="Calibri" w:eastAsia="宋体" w:cs="Times New Roman"/>
      <w:sz w:val="21"/>
      <w14:ligatures w14:val="none"/>
    </w:rPr>
  </w:style>
  <w:style w:type="character" w:customStyle="1" w:styleId="37">
    <w:name w:val="批注框文本 字符"/>
    <w:basedOn w:val="16"/>
    <w:link w:val="1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394</Words>
  <Characters>397</Characters>
  <Lines>3</Lines>
  <Paragraphs>1</Paragraphs>
  <TotalTime>0</TotalTime>
  <ScaleCrop>false</ScaleCrop>
  <LinksUpToDate>false</LinksUpToDate>
  <CharactersWithSpaces>403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2024-11-20T06:44:00Z</dcterms:created>
  <dc:creator>Yini Lan</dc:creator>
  <cp:lastModifiedBy>allan</cp:lastModifiedBy>
  <dcterms:modified xsi:type="dcterms:W3CDTF">2024-11-20T08:07:01Z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2FA95F58C103417BA1FEB950BD54C0DF_12</vt:lpwstr>
  </property>
</Properties>
</file>