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第六批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0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93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DF648A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11043B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DDF29B5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6FFF63CA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3B75250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4067</Words>
  <Characters>4339</Characters>
  <Lines>24</Lines>
  <Paragraphs>7</Paragraphs>
  <TotalTime>54</TotalTime>
  <ScaleCrop>false</ScaleCrop>
  <LinksUpToDate>false</LinksUpToDate>
  <CharactersWithSpaces>7376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Allureclover</cp:lastModifiedBy>
  <cp:lastPrinted>2024-04-18T01:06:37Z</cp:lastPrinted>
  <dcterms:modified xsi:type="dcterms:W3CDTF">2024-04-23T08:06:31Z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7609A5C4DFF0479B92B1E64AFFAD5CBE_13</vt:lpwstr>
  </property>
</Properties>
</file>